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8A" w:rsidRDefault="00277D8A" w:rsidP="00C51103">
      <w:pPr>
        <w:pStyle w:val="NormalWeb"/>
        <w:shd w:val="clear" w:color="auto" w:fill="FFFFFF"/>
        <w:spacing w:before="0" w:beforeAutospacing="0" w:after="0" w:afterAutospacing="0"/>
        <w:jc w:val="center"/>
        <w:textAlignment w:val="baseline"/>
        <w:rPr>
          <w:b/>
          <w:color w:val="000000"/>
          <w:sz w:val="26"/>
          <w:szCs w:val="26"/>
        </w:rPr>
      </w:pPr>
    </w:p>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SPOR KULÜBÜ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Kuruluş işlemleri için Gençlik ve Spor İl Müdürlüğüne başvurduğumuz, 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51103" w:rsidP="00C51103">
      <w:pPr>
        <w:pStyle w:val="NormalWeb"/>
        <w:shd w:val="clear" w:color="auto" w:fill="FFFFFF"/>
        <w:spacing w:before="0" w:beforeAutospacing="0" w:after="0" w:afterAutospacing="0"/>
        <w:textAlignment w:val="baseline"/>
        <w:rPr>
          <w:color w:val="000000"/>
        </w:rPr>
      </w:pPr>
    </w:p>
    <w:p w:rsidR="00C51103" w:rsidRDefault="00C301E9" w:rsidP="00C51103">
      <w:pPr>
        <w:pStyle w:val="NormalWeb"/>
        <w:shd w:val="clear" w:color="auto" w:fill="FFFFFF"/>
        <w:spacing w:before="0" w:beforeAutospacing="0" w:after="0" w:afterAutospacing="0"/>
        <w:jc w:val="right"/>
        <w:textAlignment w:val="baseline"/>
        <w:rPr>
          <w:color w:val="000000"/>
        </w:rPr>
      </w:pPr>
      <w:r>
        <w:rPr>
          <w:color w:val="000000"/>
        </w:rPr>
        <w:t xml:space="preserve">Tarih: </w:t>
      </w:r>
      <w:proofErr w:type="gramStart"/>
      <w:r>
        <w:rPr>
          <w:color w:val="000000"/>
        </w:rPr>
        <w:t>….</w:t>
      </w:r>
      <w:proofErr w:type="gramEnd"/>
      <w:r>
        <w:rPr>
          <w:color w:val="000000"/>
        </w:rPr>
        <w:t>/…./202..</w:t>
      </w:r>
      <w:bookmarkStart w:id="0" w:name="_GoBack"/>
      <w:bookmarkEnd w:id="0"/>
    </w:p>
    <w:p w:rsidR="00C51103" w:rsidRDefault="00C51103" w:rsidP="00C51103">
      <w:pPr>
        <w:pStyle w:val="NormalWeb"/>
        <w:shd w:val="clear" w:color="auto" w:fill="FFFFFF"/>
        <w:spacing w:before="0" w:beforeAutospacing="0" w:after="0" w:afterAutospacing="0"/>
        <w:jc w:val="right"/>
        <w:textAlignment w:val="baseline"/>
        <w:rPr>
          <w:color w:val="000000"/>
        </w:rPr>
      </w:pPr>
    </w:p>
    <w:p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rsidR="00C51103" w:rsidRP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Geçici Yönetim Kurulu Başkanı veya Üyesi</w:t>
      </w:r>
    </w:p>
    <w:p w:rsidR="00D80ED3" w:rsidRPr="00C51103" w:rsidRDefault="00D80ED3" w:rsidP="00C51103">
      <w:pPr>
        <w:pStyle w:val="NormalWeb"/>
        <w:shd w:val="clear" w:color="auto" w:fill="FFFFFF"/>
        <w:spacing w:before="0" w:beforeAutospacing="0" w:after="0" w:afterAutospacing="0"/>
        <w:textAlignment w:val="baseline"/>
        <w:rPr>
          <w:color w:val="000000"/>
        </w:rPr>
      </w:pPr>
    </w:p>
    <w:p w:rsidR="00D80ED3" w:rsidRPr="00C51103" w:rsidRDefault="00D80ED3" w:rsidP="00C51103">
      <w:pPr>
        <w:pStyle w:val="NormalWeb"/>
        <w:shd w:val="clear" w:color="auto" w:fill="FFFFFF"/>
        <w:spacing w:before="0" w:beforeAutospacing="0" w:after="0" w:afterAutospacing="0"/>
        <w:textAlignment w:val="baseline"/>
        <w:rPr>
          <w:color w:val="000000"/>
        </w:rPr>
      </w:pPr>
    </w:p>
    <w:sectPr w:rsidR="00D80ED3"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207365"/>
    <w:rsid w:val="00277D8A"/>
    <w:rsid w:val="002F39F8"/>
    <w:rsid w:val="00404DBA"/>
    <w:rsid w:val="0046102C"/>
    <w:rsid w:val="004665B3"/>
    <w:rsid w:val="004C59F7"/>
    <w:rsid w:val="007A6938"/>
    <w:rsid w:val="008C6769"/>
    <w:rsid w:val="008E0C04"/>
    <w:rsid w:val="00960AA8"/>
    <w:rsid w:val="00B0123F"/>
    <w:rsid w:val="00C301E9"/>
    <w:rsid w:val="00C51103"/>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786C"/>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Tuğçe TEKİN</cp:lastModifiedBy>
  <cp:revision>3</cp:revision>
  <dcterms:created xsi:type="dcterms:W3CDTF">2022-12-07T08:48:00Z</dcterms:created>
  <dcterms:modified xsi:type="dcterms:W3CDTF">2025-02-17T12:04:00Z</dcterms:modified>
</cp:coreProperties>
</file>